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BF9" w14:textId="3EAE4257" w:rsidR="004368BF" w:rsidRPr="004368BF" w:rsidRDefault="004368BF" w:rsidP="00680DFA">
      <w:pPr>
        <w:tabs>
          <w:tab w:val="left" w:pos="5954"/>
        </w:tabs>
        <w:spacing w:line="253" w:lineRule="atLeast"/>
        <w:rPr>
          <w:rFonts w:eastAsia="Times New Roman"/>
          <w:b/>
          <w:bCs/>
          <w:color w:val="FF0000"/>
          <w:sz w:val="32"/>
          <w:szCs w:val="30"/>
        </w:rPr>
      </w:pPr>
    </w:p>
    <w:p w14:paraId="7F91C27A" w14:textId="12EBDBF8" w:rsidR="009A597F" w:rsidRPr="0035436B" w:rsidRDefault="00BC2400" w:rsidP="0035436B">
      <w:pPr>
        <w:spacing w:line="253" w:lineRule="atLeast"/>
        <w:jc w:val="center"/>
        <w:rPr>
          <w:rFonts w:eastAsia="Times New Roman"/>
          <w:b/>
          <w:bCs/>
          <w:sz w:val="32"/>
          <w:szCs w:val="30"/>
        </w:rPr>
      </w:pPr>
      <w:r w:rsidRPr="0035436B">
        <w:rPr>
          <w:rFonts w:eastAsia="Times New Roman"/>
          <w:b/>
          <w:bCs/>
          <w:sz w:val="32"/>
          <w:szCs w:val="30"/>
        </w:rPr>
        <w:t>COMUNICATO STAMPA</w:t>
      </w:r>
      <w:r w:rsidR="004368BF">
        <w:rPr>
          <w:rFonts w:eastAsia="Times New Roman"/>
          <w:b/>
          <w:bCs/>
          <w:sz w:val="32"/>
          <w:szCs w:val="30"/>
        </w:rPr>
        <w:t xml:space="preserve">            </w:t>
      </w:r>
    </w:p>
    <w:p w14:paraId="15DEC5D3" w14:textId="77777777" w:rsidR="00C015FC" w:rsidRDefault="00C015FC" w:rsidP="00C015FC">
      <w:pPr>
        <w:jc w:val="center"/>
        <w:rPr>
          <w:b/>
          <w:bCs/>
        </w:rPr>
      </w:pPr>
    </w:p>
    <w:p w14:paraId="45595881" w14:textId="77777777" w:rsidR="001D1601" w:rsidRDefault="001D1601" w:rsidP="001D1601">
      <w:pPr>
        <w:jc w:val="center"/>
        <w:rPr>
          <w:i/>
          <w:iCs/>
        </w:rPr>
      </w:pPr>
      <w:r w:rsidRPr="00296ADC">
        <w:rPr>
          <w:b/>
          <w:bCs/>
        </w:rPr>
        <w:t>TORINO-LIONE: COMPLETATI 10</w:t>
      </w:r>
      <w:r>
        <w:rPr>
          <w:b/>
          <w:bCs/>
        </w:rPr>
        <w:t>.</w:t>
      </w:r>
      <w:r w:rsidRPr="00296ADC">
        <w:rPr>
          <w:b/>
          <w:bCs/>
        </w:rPr>
        <w:t>5 KM DEL TUNNEL DI BASE</w:t>
      </w:r>
      <w:r>
        <w:rPr>
          <w:b/>
          <w:bCs/>
        </w:rPr>
        <w:t xml:space="preserve"> NEL RISPETTO DI TEMPI E COSTI</w:t>
      </w:r>
      <w:r>
        <w:rPr>
          <w:b/>
          <w:bCs/>
        </w:rPr>
        <w:br/>
        <w:t xml:space="preserve">TELT presenta Mission-S, il programma per rafforzare la sicurezza sul lavoro </w:t>
      </w:r>
      <w:r>
        <w:rPr>
          <w:b/>
          <w:bCs/>
        </w:rPr>
        <w:br/>
      </w:r>
    </w:p>
    <w:p w14:paraId="0FA529DA" w14:textId="2921BB06" w:rsidR="001D1601" w:rsidRPr="005A3D2C" w:rsidRDefault="001D1601" w:rsidP="001D1601">
      <w:pPr>
        <w:jc w:val="both"/>
      </w:pPr>
      <w:r w:rsidRPr="000C12B5">
        <w:rPr>
          <w:i/>
          <w:iCs/>
        </w:rPr>
        <w:t>2</w:t>
      </w:r>
      <w:r>
        <w:rPr>
          <w:i/>
          <w:iCs/>
        </w:rPr>
        <w:t>8</w:t>
      </w:r>
      <w:r w:rsidRPr="000C12B5">
        <w:rPr>
          <w:i/>
          <w:iCs/>
        </w:rPr>
        <w:t xml:space="preserve"> aprile 2022, Saint-Martin-la-Porte</w:t>
      </w:r>
      <w:r>
        <w:t xml:space="preserve"> (Francia)– Questa mattina a Saint-Martin-la-Porte, in Val Maurienne, </w:t>
      </w:r>
      <w:r w:rsidRPr="002E3FCA">
        <w:rPr>
          <w:b/>
          <w:bCs/>
        </w:rPr>
        <w:t>è terminato lo scavo dei primi 10,5 km del tunnel di base della Torino-Lione</w:t>
      </w:r>
      <w:r>
        <w:t>.</w:t>
      </w:r>
      <w:r>
        <w:br/>
        <w:t xml:space="preserve">Intorno alle 11:00 gli operai hanno </w:t>
      </w:r>
      <w:r w:rsidRPr="002E3FCA">
        <w:rPr>
          <w:b/>
          <w:bCs/>
        </w:rPr>
        <w:t>abbattuto l’ultima parete di roccia</w:t>
      </w:r>
      <w:r>
        <w:t xml:space="preserve"> che congiunge i 9 km, scavati dalla fresa Federica, con il chilometro e mezzo realizzato con metodo tradizionale in uno dei punti più delicati della montagna tra Francia e Italia per la presenza di una lunga faglia carbonifera. </w:t>
      </w:r>
      <w:r>
        <w:rPr>
          <w:rFonts w:cstheme="minorHAnsi"/>
          <w:b/>
          <w:bCs/>
        </w:rPr>
        <w:t>Si tratta del</w:t>
      </w:r>
      <w:r w:rsidRPr="008272DF">
        <w:rPr>
          <w:b/>
          <w:bCs/>
        </w:rPr>
        <w:t xml:space="preserve"> secondo cantiere dei lavori </w:t>
      </w:r>
      <w:r w:rsidR="00E53DA8">
        <w:rPr>
          <w:b/>
          <w:bCs/>
        </w:rPr>
        <w:t xml:space="preserve">definitivi </w:t>
      </w:r>
      <w:r w:rsidRPr="008272DF">
        <w:rPr>
          <w:b/>
          <w:bCs/>
        </w:rPr>
        <w:t xml:space="preserve">dell’opera che si </w:t>
      </w:r>
      <w:proofErr w:type="spellStart"/>
      <w:r w:rsidRPr="008272DF">
        <w:rPr>
          <w:b/>
          <w:bCs/>
        </w:rPr>
        <w:t>conclude</w:t>
      </w:r>
      <w:proofErr w:type="spellEnd"/>
      <w:r w:rsidRPr="008272DF">
        <w:rPr>
          <w:b/>
          <w:bCs/>
        </w:rPr>
        <w:t xml:space="preserve"> nel rispetto dei tempi e dei costi</w:t>
      </w:r>
      <w:r>
        <w:t>, dopo quello per la realizzazione del portale d’ingresso a Saint-Julien-</w:t>
      </w:r>
      <w:proofErr w:type="spellStart"/>
      <w:r>
        <w:t>Montdenis</w:t>
      </w:r>
      <w:proofErr w:type="spellEnd"/>
      <w:r>
        <w:t xml:space="preserve"> terminato nell’autunno 2021. Parallelamente </w:t>
      </w:r>
      <w:r w:rsidRPr="008272DF">
        <w:rPr>
          <w:b/>
          <w:bCs/>
        </w:rPr>
        <w:t xml:space="preserve">sono </w:t>
      </w:r>
      <w:r>
        <w:rPr>
          <w:b/>
          <w:bCs/>
        </w:rPr>
        <w:t>iniziati</w:t>
      </w:r>
      <w:r w:rsidRPr="002E3FCA">
        <w:rPr>
          <w:b/>
          <w:bCs/>
        </w:rPr>
        <w:t xml:space="preserve"> i </w:t>
      </w:r>
      <w:r>
        <w:rPr>
          <w:b/>
          <w:bCs/>
        </w:rPr>
        <w:t xml:space="preserve">lavori, assegnati nel luglio dell’anno scorso, </w:t>
      </w:r>
      <w:r w:rsidRPr="002E3FCA">
        <w:rPr>
          <w:b/>
          <w:bCs/>
        </w:rPr>
        <w:t>per completare il tratto francese del</w:t>
      </w:r>
      <w:r>
        <w:rPr>
          <w:b/>
          <w:bCs/>
        </w:rPr>
        <w:t xml:space="preserve"> tunnel</w:t>
      </w:r>
      <w:r w:rsidRPr="002E3FCA">
        <w:rPr>
          <w:b/>
          <w:bCs/>
        </w:rPr>
        <w:t xml:space="preserve"> in cui passeranno i treni</w:t>
      </w:r>
      <w:r>
        <w:t xml:space="preserve">: </w:t>
      </w:r>
      <w:r w:rsidRPr="00AF68A2">
        <w:rPr>
          <w:b/>
          <w:bCs/>
        </w:rPr>
        <w:t>ad oggi</w:t>
      </w:r>
      <w:r>
        <w:rPr>
          <w:b/>
          <w:bCs/>
        </w:rPr>
        <w:t xml:space="preserve"> sono oltre 1.000 le persone impegnate nei 10 cantieri </w:t>
      </w:r>
      <w:r w:rsidRPr="00AD625D">
        <w:rPr>
          <w:b/>
          <w:bCs/>
        </w:rPr>
        <w:t xml:space="preserve">dell’opera attivi </w:t>
      </w:r>
      <w:r>
        <w:rPr>
          <w:b/>
          <w:bCs/>
        </w:rPr>
        <w:t>nei due Paesi</w:t>
      </w:r>
      <w:r w:rsidRPr="00AD625D">
        <w:rPr>
          <w:b/>
          <w:bCs/>
        </w:rPr>
        <w:t>.</w:t>
      </w:r>
    </w:p>
    <w:p w14:paraId="4E4353A1" w14:textId="77777777" w:rsidR="001D1601" w:rsidRDefault="001D1601" w:rsidP="001D1601">
      <w:pPr>
        <w:jc w:val="both"/>
        <w:rPr>
          <w:b/>
          <w:bCs/>
        </w:rPr>
      </w:pPr>
      <w:r>
        <w:t xml:space="preserve">Questo momento di passaggio coincide con la </w:t>
      </w:r>
      <w:r w:rsidRPr="002E3FCA">
        <w:rPr>
          <w:b/>
          <w:bCs/>
        </w:rPr>
        <w:t>Giornata Mondiale della Sicurezza sul lavoro</w:t>
      </w:r>
      <w:r>
        <w:t xml:space="preserve">, che TELT ha scelto per presentare </w:t>
      </w:r>
      <w:r w:rsidRPr="002E3FCA">
        <w:rPr>
          <w:b/>
          <w:bCs/>
        </w:rPr>
        <w:t>Mission-S</w:t>
      </w:r>
      <w:r>
        <w:t xml:space="preserve"> (Missione Sicurezza), </w:t>
      </w:r>
      <w:r w:rsidRPr="003E21C7">
        <w:rPr>
          <w:b/>
          <w:bCs/>
        </w:rPr>
        <w:t xml:space="preserve">il programma che </w:t>
      </w:r>
      <w:r>
        <w:rPr>
          <w:b/>
          <w:bCs/>
        </w:rPr>
        <w:t xml:space="preserve">insieme alle imprese attive sui cantieri </w:t>
      </w:r>
      <w:r w:rsidRPr="003E21C7">
        <w:rPr>
          <w:b/>
          <w:bCs/>
        </w:rPr>
        <w:t>rafforza il presidio della sicurezza dei lavoratori della sezione transfrontaliera</w:t>
      </w:r>
      <w:r>
        <w:rPr>
          <w:b/>
          <w:bCs/>
        </w:rPr>
        <w:t>.</w:t>
      </w:r>
    </w:p>
    <w:p w14:paraId="07EC339D" w14:textId="77777777" w:rsidR="001D1601" w:rsidRPr="003E21C7" w:rsidRDefault="001D1601" w:rsidP="001D1601">
      <w:pPr>
        <w:jc w:val="both"/>
        <w:rPr>
          <w:b/>
          <w:bCs/>
        </w:rPr>
      </w:pPr>
      <w:r w:rsidRPr="003E21C7">
        <w:rPr>
          <w:b/>
          <w:bCs/>
        </w:rPr>
        <w:t xml:space="preserve">Nei prossimi anni </w:t>
      </w:r>
      <w:r>
        <w:rPr>
          <w:b/>
          <w:bCs/>
        </w:rPr>
        <w:t xml:space="preserve">i </w:t>
      </w:r>
      <w:r w:rsidRPr="003E21C7">
        <w:rPr>
          <w:b/>
          <w:bCs/>
        </w:rPr>
        <w:t>cantieri vedranno al lavoro oltre 4.000 persone</w:t>
      </w:r>
      <w:r>
        <w:t xml:space="preserve"> ed è fondamentale impostare ora una rigorosa strategia della sicurezza che coinvolga tutti i livelli della catena produttiva. L’assunto di partenza è che la sicurezza può essere garantita al massimo solo se diventa </w:t>
      </w:r>
      <w:r w:rsidRPr="003E21C7">
        <w:rPr>
          <w:b/>
          <w:bCs/>
        </w:rPr>
        <w:t>una responsabilità condivisa</w:t>
      </w:r>
      <w:r>
        <w:t>, u</w:t>
      </w:r>
      <w:r w:rsidRPr="00296ADC">
        <w:t xml:space="preserve">na dimensione in cui ognuno deve fare la </w:t>
      </w:r>
      <w:r>
        <w:t>propria</w:t>
      </w:r>
      <w:r w:rsidRPr="00296ADC">
        <w:t xml:space="preserve"> parte per il bene di tutti.</w:t>
      </w:r>
    </w:p>
    <w:p w14:paraId="0B84C5A3" w14:textId="77777777" w:rsidR="001D1601" w:rsidRDefault="001D1601" w:rsidP="001D1601">
      <w:pPr>
        <w:jc w:val="both"/>
      </w:pPr>
      <w:r>
        <w:t xml:space="preserve">L’asticella è alta: </w:t>
      </w:r>
      <w:r w:rsidRPr="007A7B63">
        <w:rPr>
          <w:b/>
          <w:bCs/>
        </w:rPr>
        <w:t>ridurre al minimo gli infortuni sul lavoro e</w:t>
      </w:r>
      <w:r>
        <w:t xml:space="preserve"> </w:t>
      </w:r>
      <w:r w:rsidRPr="007A7B63">
        <w:rPr>
          <w:b/>
          <w:bCs/>
        </w:rPr>
        <w:t>azzerare gli i</w:t>
      </w:r>
      <w:r>
        <w:rPr>
          <w:b/>
          <w:bCs/>
        </w:rPr>
        <w:t>ncidenti</w:t>
      </w:r>
      <w:r w:rsidRPr="007A7B63">
        <w:rPr>
          <w:b/>
          <w:bCs/>
        </w:rPr>
        <w:t xml:space="preserve"> gravi/mortali</w:t>
      </w:r>
      <w:r>
        <w:t xml:space="preserve">. Un obiettivo ambizioso ma raggiungibile. La storia insegna che </w:t>
      </w:r>
      <w:r w:rsidRPr="00D01635">
        <w:rPr>
          <w:b/>
          <w:bCs/>
        </w:rPr>
        <w:t>negli ultimi duecento anni le condizioni di lavoro sono progressivamente migliorate</w:t>
      </w:r>
      <w:r>
        <w:t xml:space="preserve">, grazie alle innovazioni tecnologiche e sociali, alle scoperte della medicina e dell'igiene e alla consapevolezza dell'importanza della vita e della salute umana. Questo è successo </w:t>
      </w:r>
      <w:r w:rsidRPr="00D01635">
        <w:rPr>
          <w:b/>
          <w:bCs/>
        </w:rPr>
        <w:t>anche per i lavoratori delle opere in sotterraneo per i quali l’evoluzione delle tecnologie durante il diciannovesimo e il ventesimo secolo è stata fondamentale</w:t>
      </w:r>
      <w:r>
        <w:t xml:space="preserve">. E i dati dicono che oggi il traguardo della mortalità zero è perseguibile. </w:t>
      </w:r>
    </w:p>
    <w:p w14:paraId="7F9EA925" w14:textId="77777777" w:rsidR="001D1601" w:rsidRDefault="001D1601" w:rsidP="001D1601">
      <w:pPr>
        <w:jc w:val="both"/>
        <w:rPr>
          <w:b/>
          <w:bCs/>
        </w:rPr>
      </w:pPr>
      <w:r>
        <w:t xml:space="preserve">Per raggiungere questa meta </w:t>
      </w:r>
      <w:r w:rsidRPr="00D01635">
        <w:rPr>
          <w:b/>
          <w:bCs/>
        </w:rPr>
        <w:t xml:space="preserve">il promotore pubblico </w:t>
      </w:r>
      <w:proofErr w:type="gramStart"/>
      <w:r w:rsidRPr="00D01635">
        <w:rPr>
          <w:b/>
          <w:bCs/>
        </w:rPr>
        <w:t>mette in campo</w:t>
      </w:r>
      <w:proofErr w:type="gramEnd"/>
      <w:r>
        <w:rPr>
          <w:b/>
          <w:bCs/>
        </w:rPr>
        <w:t>,</w:t>
      </w:r>
      <w:r w:rsidRPr="00D01635">
        <w:rPr>
          <w:b/>
          <w:bCs/>
        </w:rPr>
        <w:t xml:space="preserve"> insieme alle imprese</w:t>
      </w:r>
      <w:r>
        <w:rPr>
          <w:b/>
          <w:bCs/>
        </w:rPr>
        <w:t>,</w:t>
      </w:r>
      <w:r w:rsidRPr="00D01635">
        <w:rPr>
          <w:b/>
          <w:bCs/>
        </w:rPr>
        <w:t xml:space="preserve"> tutti gli strumenti più all’avanguardia disponibili in termini di formazione, metodologie e tecnologie attingendo alle migliori esperienze del mondo in ogni settore.</w:t>
      </w:r>
    </w:p>
    <w:p w14:paraId="04CBF3B8" w14:textId="26408C03" w:rsidR="001D1601" w:rsidRDefault="001D1601" w:rsidP="001D1601">
      <w:pPr>
        <w:jc w:val="both"/>
      </w:pPr>
      <w:r w:rsidRPr="00600FCB">
        <w:rPr>
          <w:b/>
          <w:bCs/>
        </w:rPr>
        <w:t xml:space="preserve">Il programma è stato presentato davanti a una platea di oltre </w:t>
      </w:r>
      <w:proofErr w:type="gramStart"/>
      <w:r w:rsidRPr="00600FCB">
        <w:rPr>
          <w:b/>
          <w:bCs/>
        </w:rPr>
        <w:t>100</w:t>
      </w:r>
      <w:proofErr w:type="gramEnd"/>
      <w:r w:rsidRPr="00600FCB">
        <w:rPr>
          <w:b/>
          <w:bCs/>
        </w:rPr>
        <w:t xml:space="preserve"> persone</w:t>
      </w:r>
      <w:r>
        <w:t xml:space="preserve">. La giornata è stata aperta dal direttore generale di TELT, Mario Virano, seguito dalla presentazione del bilancio del cantiere appena terminato da parte del </w:t>
      </w:r>
      <w:r w:rsidRPr="00AF68A2">
        <w:rPr>
          <w:b/>
          <w:bCs/>
        </w:rPr>
        <w:t>raggruppamento guidato da Spie</w:t>
      </w:r>
      <w:r w:rsidRPr="00600FCB">
        <w:rPr>
          <w:b/>
          <w:bCs/>
        </w:rPr>
        <w:t xml:space="preserve"> </w:t>
      </w:r>
      <w:proofErr w:type="spellStart"/>
      <w:r w:rsidRPr="00600FCB">
        <w:rPr>
          <w:b/>
          <w:bCs/>
        </w:rPr>
        <w:t>Batignolles</w:t>
      </w:r>
      <w:proofErr w:type="spellEnd"/>
      <w:r w:rsidRPr="00AF68A2">
        <w:t xml:space="preserve"> (insieme a </w:t>
      </w:r>
      <w:proofErr w:type="spellStart"/>
      <w:r w:rsidRPr="00AF68A2">
        <w:t>Eiffage</w:t>
      </w:r>
      <w:proofErr w:type="spellEnd"/>
      <w:r w:rsidRPr="00AF68A2">
        <w:t xml:space="preserve"> </w:t>
      </w:r>
      <w:proofErr w:type="spellStart"/>
      <w:r w:rsidRPr="00AF68A2">
        <w:t>Génie</w:t>
      </w:r>
      <w:proofErr w:type="spellEnd"/>
      <w:r w:rsidRPr="00AF68A2">
        <w:t xml:space="preserve"> </w:t>
      </w:r>
      <w:proofErr w:type="spellStart"/>
      <w:r w:rsidRPr="00AF68A2">
        <w:t>Civil</w:t>
      </w:r>
      <w:proofErr w:type="spellEnd"/>
      <w:r w:rsidRPr="00AF68A2">
        <w:t xml:space="preserve">, </w:t>
      </w:r>
      <w:proofErr w:type="spellStart"/>
      <w:r w:rsidRPr="00AF68A2">
        <w:t>Ghella</w:t>
      </w:r>
      <w:proofErr w:type="spellEnd"/>
      <w:r w:rsidRPr="00AF68A2">
        <w:t xml:space="preserve"> </w:t>
      </w:r>
      <w:proofErr w:type="spellStart"/>
      <w:r w:rsidRPr="00AF68A2">
        <w:t>SpA</w:t>
      </w:r>
      <w:proofErr w:type="spellEnd"/>
      <w:r w:rsidRPr="00AF68A2">
        <w:t xml:space="preserve">, CMC di Ravenna, </w:t>
      </w:r>
      <w:proofErr w:type="spellStart"/>
      <w:r w:rsidRPr="00AF68A2">
        <w:t>Cogeis</w:t>
      </w:r>
      <w:proofErr w:type="spellEnd"/>
      <w:r w:rsidRPr="00AF68A2">
        <w:t xml:space="preserve"> </w:t>
      </w:r>
      <w:proofErr w:type="spellStart"/>
      <w:r w:rsidRPr="00AF68A2">
        <w:t>SpA</w:t>
      </w:r>
      <w:proofErr w:type="spellEnd"/>
      <w:r w:rsidRPr="00AF68A2">
        <w:t>).</w:t>
      </w:r>
      <w:r>
        <w:t xml:space="preserve"> I responsabili del promotore pubblico hanno poi illustrato il programma Mission-S, mentre le imprese attive in Italia e Francia hanno raccontato le innovazioni messe in campo per la sicurezza in galleria nei cantieri dell’opera:  il </w:t>
      </w:r>
      <w:r w:rsidRPr="008B2283">
        <w:rPr>
          <w:b/>
          <w:bCs/>
        </w:rPr>
        <w:t>raggruppamento guidato da</w:t>
      </w:r>
      <w:r>
        <w:t xml:space="preserve"> </w:t>
      </w:r>
      <w:proofErr w:type="spellStart"/>
      <w:r w:rsidRPr="00600FCB">
        <w:rPr>
          <w:b/>
          <w:bCs/>
        </w:rPr>
        <w:t>Webuild</w:t>
      </w:r>
      <w:proofErr w:type="spellEnd"/>
      <w:r w:rsidRPr="00600FCB">
        <w:rPr>
          <w:b/>
          <w:bCs/>
        </w:rPr>
        <w:t>-CSC Costruzioni</w:t>
      </w:r>
      <w:r>
        <w:t xml:space="preserve"> (insieme a</w:t>
      </w:r>
      <w:r w:rsidRPr="00643978">
        <w:t xml:space="preserve"> Vinci </w:t>
      </w:r>
      <w:proofErr w:type="spellStart"/>
      <w:r w:rsidRPr="00643978">
        <w:t>Constructions</w:t>
      </w:r>
      <w:proofErr w:type="spellEnd"/>
      <w:r w:rsidRPr="00643978">
        <w:t xml:space="preserve"> France TP, CSC Entreprise de </w:t>
      </w:r>
      <w:proofErr w:type="spellStart"/>
      <w:r w:rsidRPr="00643978">
        <w:t>Constructions</w:t>
      </w:r>
      <w:proofErr w:type="spellEnd"/>
      <w:r w:rsidRPr="00643978">
        <w:t xml:space="preserve">, </w:t>
      </w:r>
      <w:proofErr w:type="spellStart"/>
      <w:r w:rsidRPr="00643978">
        <w:t>Dodin</w:t>
      </w:r>
      <w:proofErr w:type="spellEnd"/>
      <w:r w:rsidRPr="00643978">
        <w:t xml:space="preserve"> </w:t>
      </w:r>
      <w:proofErr w:type="spellStart"/>
      <w:r w:rsidRPr="00643978">
        <w:t>Campenon</w:t>
      </w:r>
      <w:proofErr w:type="spellEnd"/>
      <w:r w:rsidRPr="00643978">
        <w:t xml:space="preserve"> Bernard</w:t>
      </w:r>
      <w:r>
        <w:t xml:space="preserve">) che realizza le nicchie nella galleria della Maddalena di Chiomonte, il </w:t>
      </w:r>
      <w:r w:rsidRPr="00600FCB">
        <w:rPr>
          <w:b/>
          <w:bCs/>
        </w:rPr>
        <w:t>raggruppamento LYTO</w:t>
      </w:r>
      <w:r>
        <w:t xml:space="preserve"> (</w:t>
      </w:r>
      <w:r w:rsidRPr="00DE6DF6">
        <w:t xml:space="preserve">VINCI Construction </w:t>
      </w:r>
      <w:proofErr w:type="spellStart"/>
      <w:r w:rsidRPr="00DE6DF6">
        <w:t>Grands</w:t>
      </w:r>
      <w:proofErr w:type="spellEnd"/>
      <w:r w:rsidRPr="00DE6DF6">
        <w:t xml:space="preserve"> </w:t>
      </w:r>
      <w:proofErr w:type="spellStart"/>
      <w:r w:rsidRPr="00DE6DF6">
        <w:lastRenderedPageBreak/>
        <w:t>Projets</w:t>
      </w:r>
      <w:proofErr w:type="spellEnd"/>
      <w:r>
        <w:t xml:space="preserve"> (mandataria)</w:t>
      </w:r>
      <w:r w:rsidRPr="00DE6DF6">
        <w:t xml:space="preserve">, </w:t>
      </w:r>
      <w:proofErr w:type="spellStart"/>
      <w:r w:rsidRPr="00DE6DF6">
        <w:t>Dodin</w:t>
      </w:r>
      <w:proofErr w:type="spellEnd"/>
      <w:r w:rsidRPr="00DE6DF6">
        <w:t xml:space="preserve"> </w:t>
      </w:r>
      <w:proofErr w:type="spellStart"/>
      <w:r w:rsidRPr="00DE6DF6">
        <w:t>Campenon</w:t>
      </w:r>
      <w:proofErr w:type="spellEnd"/>
      <w:r w:rsidRPr="00DE6DF6">
        <w:t xml:space="preserve"> Bernard, VINCI Construction France, </w:t>
      </w:r>
      <w:proofErr w:type="spellStart"/>
      <w:r w:rsidRPr="00DE6DF6">
        <w:t>Webuild</w:t>
      </w:r>
      <w:proofErr w:type="spellEnd"/>
      <w:r w:rsidRPr="00DE6DF6">
        <w:t xml:space="preserve"> e </w:t>
      </w:r>
      <w:proofErr w:type="spellStart"/>
      <w:r w:rsidRPr="00DE6DF6">
        <w:t>Bergteamet</w:t>
      </w:r>
      <w:proofErr w:type="spellEnd"/>
      <w:r>
        <w:t xml:space="preserve">) attivo nella realizzazione dei pozzi di ventilazione del tunnel ad </w:t>
      </w:r>
      <w:proofErr w:type="spellStart"/>
      <w:r>
        <w:t>Avrieux</w:t>
      </w:r>
      <w:proofErr w:type="spellEnd"/>
      <w:r>
        <w:t xml:space="preserve"> </w:t>
      </w:r>
      <w:r w:rsidR="00E53DA8">
        <w:t xml:space="preserve">e nel tratto del tunnel di tunnel di base da scavare tra Saint-Martin-la-Porte e Modane, </w:t>
      </w:r>
      <w:r>
        <w:t xml:space="preserve">e il </w:t>
      </w:r>
      <w:r w:rsidRPr="00600FCB">
        <w:rPr>
          <w:b/>
          <w:bCs/>
        </w:rPr>
        <w:t xml:space="preserve">raggruppamento guidato da </w:t>
      </w:r>
      <w:proofErr w:type="spellStart"/>
      <w:r w:rsidRPr="00600FCB">
        <w:rPr>
          <w:b/>
          <w:bCs/>
        </w:rPr>
        <w:t>Implenia</w:t>
      </w:r>
      <w:proofErr w:type="spellEnd"/>
      <w:r>
        <w:t xml:space="preserve"> </w:t>
      </w:r>
      <w:r w:rsidRPr="0022147E">
        <w:t xml:space="preserve"> </w:t>
      </w:r>
      <w:r>
        <w:t>(</w:t>
      </w:r>
      <w:proofErr w:type="spellStart"/>
      <w:r w:rsidRPr="0022147E">
        <w:t>I</w:t>
      </w:r>
      <w:r>
        <w:t>mplenia</w:t>
      </w:r>
      <w:proofErr w:type="spellEnd"/>
      <w:r>
        <w:t xml:space="preserve"> </w:t>
      </w:r>
      <w:r w:rsidRPr="0022147E">
        <w:t xml:space="preserve">Suisse (mandataria) / </w:t>
      </w:r>
      <w:proofErr w:type="spellStart"/>
      <w:r w:rsidRPr="0022147E">
        <w:t>I</w:t>
      </w:r>
      <w:r>
        <w:t>mplenia</w:t>
      </w:r>
      <w:proofErr w:type="spellEnd"/>
      <w:r w:rsidRPr="0022147E">
        <w:t xml:space="preserve"> France / NGE / </w:t>
      </w:r>
      <w:proofErr w:type="spellStart"/>
      <w:r w:rsidRPr="0022147E">
        <w:t>I</w:t>
      </w:r>
      <w:r>
        <w:t>tinera</w:t>
      </w:r>
      <w:proofErr w:type="spellEnd"/>
      <w:r w:rsidRPr="0022147E">
        <w:t xml:space="preserve"> / R</w:t>
      </w:r>
      <w:r>
        <w:t>izzani</w:t>
      </w:r>
      <w:r w:rsidRPr="0022147E">
        <w:t xml:space="preserve"> de E</w:t>
      </w:r>
      <w:r>
        <w:t>ccher)</w:t>
      </w:r>
      <w:r w:rsidRPr="0022147E">
        <w:t xml:space="preserve"> </w:t>
      </w:r>
      <w:r>
        <w:t>impegnato nel cantiere per il tratto di tunnel di base tra il portale di ingresso a Saint-Julien-</w:t>
      </w:r>
      <w:proofErr w:type="spellStart"/>
      <w:r>
        <w:t>Montdenis</w:t>
      </w:r>
      <w:proofErr w:type="spellEnd"/>
      <w:r>
        <w:t xml:space="preserve"> e Saint-Martin-la-Porte. Sono intervenuti anche i responsabili di</w:t>
      </w:r>
      <w:r w:rsidRPr="00600FCB">
        <w:rPr>
          <w:b/>
          <w:bCs/>
        </w:rPr>
        <w:t xml:space="preserve"> </w:t>
      </w:r>
      <w:proofErr w:type="spellStart"/>
      <w:r w:rsidRPr="00600FCB">
        <w:rPr>
          <w:b/>
          <w:bCs/>
        </w:rPr>
        <w:t>Carsat</w:t>
      </w:r>
      <w:proofErr w:type="spellEnd"/>
      <w:r>
        <w:t xml:space="preserve"> (</w:t>
      </w:r>
      <w:proofErr w:type="spellStart"/>
      <w:r w:rsidRPr="00E23FA5">
        <w:t>Caisse</w:t>
      </w:r>
      <w:proofErr w:type="spellEnd"/>
      <w:r w:rsidRPr="00E23FA5">
        <w:t xml:space="preserve"> d'Assurance </w:t>
      </w:r>
      <w:proofErr w:type="spellStart"/>
      <w:r w:rsidRPr="00E23FA5">
        <w:t>Retraite</w:t>
      </w:r>
      <w:proofErr w:type="spellEnd"/>
      <w:r w:rsidRPr="00E23FA5">
        <w:t xml:space="preserve"> et de Santé </w:t>
      </w:r>
      <w:proofErr w:type="spellStart"/>
      <w:r w:rsidRPr="00E23FA5">
        <w:t>Au</w:t>
      </w:r>
      <w:proofErr w:type="spellEnd"/>
      <w:r w:rsidRPr="00E23FA5">
        <w:t xml:space="preserve"> </w:t>
      </w:r>
      <w:proofErr w:type="spellStart"/>
      <w:r w:rsidRPr="00E23FA5">
        <w:t>Travail</w:t>
      </w:r>
      <w:proofErr w:type="spellEnd"/>
      <w:r>
        <w:t xml:space="preserve">) e </w:t>
      </w:r>
      <w:r w:rsidRPr="00600FCB">
        <w:t>dell’</w:t>
      </w:r>
      <w:r w:rsidRPr="00600FCB">
        <w:rPr>
          <w:b/>
          <w:bCs/>
        </w:rPr>
        <w:t>Unità di Sicurezza sul lavoro dell’ILO</w:t>
      </w:r>
      <w:r>
        <w:t xml:space="preserve">. </w:t>
      </w:r>
    </w:p>
    <w:p w14:paraId="298C0D5C" w14:textId="28C16676" w:rsidR="001D1601" w:rsidRDefault="001D1601" w:rsidP="001D1601">
      <w:pPr>
        <w:jc w:val="both"/>
        <w:rPr>
          <w:b/>
          <w:bCs/>
        </w:rPr>
      </w:pPr>
    </w:p>
    <w:p w14:paraId="1F519650" w14:textId="7B593D27" w:rsidR="001D1601" w:rsidRPr="00B5080C" w:rsidRDefault="001D1601" w:rsidP="001D1601">
      <w:pPr>
        <w:jc w:val="both"/>
      </w:pPr>
      <w:r w:rsidRPr="00B5080C">
        <w:rPr>
          <w:b/>
          <w:bCs/>
        </w:rPr>
        <w:t xml:space="preserve">MISSION-S, Sharing </w:t>
      </w:r>
      <w:proofErr w:type="spellStart"/>
      <w:r w:rsidRPr="00B5080C">
        <w:rPr>
          <w:b/>
          <w:bCs/>
        </w:rPr>
        <w:t>Safety</w:t>
      </w:r>
      <w:proofErr w:type="spellEnd"/>
    </w:p>
    <w:p w14:paraId="180044F2" w14:textId="07474CB2" w:rsidR="001D1601" w:rsidRPr="00EF0CDB" w:rsidRDefault="001D1601" w:rsidP="001D1601">
      <w:pPr>
        <w:rPr>
          <w:b/>
          <w:bCs/>
        </w:rPr>
      </w:pPr>
      <w:r w:rsidRPr="00EF0CDB">
        <w:rPr>
          <w:b/>
          <w:bCs/>
        </w:rPr>
        <w:t xml:space="preserve">Una cultura </w:t>
      </w:r>
      <w:r>
        <w:rPr>
          <w:b/>
          <w:bCs/>
        </w:rPr>
        <w:t>comune e l’engagement delle imprese</w:t>
      </w:r>
      <w:r>
        <w:rPr>
          <w:b/>
          <w:bCs/>
        </w:rPr>
        <w:br/>
      </w:r>
      <w:r>
        <w:t>Il primo step è stato inserire un alto presidio del</w:t>
      </w:r>
      <w:r w:rsidRPr="00522923">
        <w:rPr>
          <w:b/>
          <w:bCs/>
        </w:rPr>
        <w:t>la sicurezza come criterio importante già nei documenti di gara</w:t>
      </w:r>
      <w:r>
        <w:t xml:space="preserve"> degli appalti dell’opera. La risposta tecnico organizzativa, la propensione all’innovazione e l’attenzione verso le persone che lavoreranno nella fase di realizzazione è diventato oggetto di valutazione e concorre alla scelta delle società appaltatrici. A suggellare questo impegno al momento dell’attribuzione del contratto le società sottoscrivono con TELT il “</w:t>
      </w:r>
      <w:r w:rsidRPr="00EF0CDB">
        <w:rPr>
          <w:b/>
          <w:bCs/>
        </w:rPr>
        <w:t>Patto di sostenibilità e integrità delle Imprese della Torino Lione</w:t>
      </w:r>
      <w:r w:rsidRPr="00BB2AB3">
        <w:t>”, che comporta il coinvolgimento di tutti gli attori che operano nei cantieri (Committenza, Direzione Lavori, Coordinatori della sicurezza, imprese, sub-appaltatori e lavoratori autonomi) nella condivisione e nel perseguimento degli stessi obiettivi.</w:t>
      </w:r>
      <w:r w:rsidRPr="00933A01">
        <w:t xml:space="preserve"> </w:t>
      </w:r>
      <w:r>
        <w:t>Sulla scorta delle buone pratiche internazionali si lavora a un meccanismo di incentivi con un sistema premiante per i soggetti che ogni anno si distinguono nell’ambito sicurezza, incentivando le imprese a fare sempre meglio.</w:t>
      </w:r>
    </w:p>
    <w:p w14:paraId="5D61AF22" w14:textId="77777777" w:rsidR="001D1601" w:rsidRPr="00EF0CDB" w:rsidRDefault="001D1601" w:rsidP="001D1601">
      <w:pPr>
        <w:rPr>
          <w:b/>
          <w:bCs/>
        </w:rPr>
      </w:pPr>
      <w:r>
        <w:rPr>
          <w:b/>
          <w:bCs/>
        </w:rPr>
        <w:t>Cantieri Smart e benchmarking</w:t>
      </w:r>
      <w:r>
        <w:rPr>
          <w:b/>
          <w:bCs/>
        </w:rPr>
        <w:br/>
      </w:r>
      <w:r>
        <w:t xml:space="preserve">Per realizzare il tunnel più lungo d’Europa </w:t>
      </w:r>
      <w:r w:rsidRPr="005A3D2C">
        <w:rPr>
          <w:b/>
          <w:bCs/>
        </w:rPr>
        <w:t>i cantieri devono essere 4.0</w:t>
      </w:r>
      <w:r>
        <w:t xml:space="preserve"> </w:t>
      </w:r>
      <w:r w:rsidRPr="005A3D2C">
        <w:rPr>
          <w:b/>
          <w:bCs/>
        </w:rPr>
        <w:t>con software in grado di condividere e gestire i processi di sicurezza</w:t>
      </w:r>
      <w:r>
        <w:t xml:space="preserve">. Per questo l’obiettivo è arrivare a </w:t>
      </w:r>
      <w:r w:rsidRPr="005255ED">
        <w:rPr>
          <w:b/>
          <w:bCs/>
        </w:rPr>
        <w:t>integrare sempre di più i</w:t>
      </w:r>
      <w:r w:rsidRPr="000736FD">
        <w:rPr>
          <w:b/>
          <w:bCs/>
        </w:rPr>
        <w:t xml:space="preserve"> diversi sistemi informatici</w:t>
      </w:r>
      <w:r>
        <w:t xml:space="preserve"> </w:t>
      </w:r>
      <w:r>
        <w:rPr>
          <w:b/>
          <w:bCs/>
        </w:rPr>
        <w:t>per il</w:t>
      </w:r>
      <w:r w:rsidRPr="000736FD">
        <w:rPr>
          <w:b/>
          <w:bCs/>
        </w:rPr>
        <w:t xml:space="preserve"> controllo da remoto</w:t>
      </w:r>
      <w:r>
        <w:t xml:space="preserve"> (accessi, movimentazioni di materiali e persone, ecc.) nonché un monitoraggio continuo degli ambienti di lavoro. Questo parallelamente a un </w:t>
      </w:r>
      <w:r w:rsidRPr="000736FD">
        <w:rPr>
          <w:b/>
          <w:bCs/>
        </w:rPr>
        <w:t>confronto costante di procedure, best</w:t>
      </w:r>
      <w:r>
        <w:t xml:space="preserve"> </w:t>
      </w:r>
      <w:proofErr w:type="spellStart"/>
      <w:r w:rsidRPr="000736FD">
        <w:rPr>
          <w:b/>
          <w:bCs/>
        </w:rPr>
        <w:t>practice</w:t>
      </w:r>
      <w:proofErr w:type="spellEnd"/>
      <w:r w:rsidRPr="000736FD">
        <w:rPr>
          <w:b/>
          <w:bCs/>
        </w:rPr>
        <w:t xml:space="preserve"> </w:t>
      </w:r>
      <w:r>
        <w:t>e performance con altri committenti internazionali impegnati in opere analoghe o che hanno una lunga esperienza in attività ad alta complessità.</w:t>
      </w:r>
    </w:p>
    <w:p w14:paraId="2043D769" w14:textId="03536887" w:rsidR="0035436B" w:rsidRPr="00D46DFE" w:rsidRDefault="001D1601" w:rsidP="001D1601">
      <w:r w:rsidRPr="00EF0CDB">
        <w:rPr>
          <w:b/>
          <w:bCs/>
        </w:rPr>
        <w:t>Formazione continua</w:t>
      </w:r>
      <w:r>
        <w:rPr>
          <w:b/>
          <w:bCs/>
        </w:rPr>
        <w:br/>
      </w:r>
      <w:r>
        <w:t xml:space="preserve">Un passo fondamentale è </w:t>
      </w:r>
      <w:r w:rsidRPr="005A3D2C">
        <w:rPr>
          <w:b/>
          <w:bCs/>
        </w:rPr>
        <w:t>aumentare la percezione dei rischi da parte di tutti i soggetti coinvolti</w:t>
      </w:r>
      <w:r>
        <w:t xml:space="preserve">: dipendenti, dirigenti, rappresentanti dei lavoratori, tutti devono essere informati sui rischi potenziali e sui pericoli del cantiere. Oltre alla </w:t>
      </w:r>
      <w:r w:rsidRPr="005A3D2C">
        <w:rPr>
          <w:b/>
          <w:bCs/>
        </w:rPr>
        <w:t>formazione continua</w:t>
      </w:r>
      <w:r>
        <w:t xml:space="preserve"> dei propri dipendenti sui temi della salute e della sicurezza nei vari ambiti operativi, è stato </w:t>
      </w:r>
      <w:proofErr w:type="gramStart"/>
      <w:r>
        <w:t>messo in campo</w:t>
      </w:r>
      <w:proofErr w:type="gramEnd"/>
      <w:r>
        <w:t xml:space="preserve"> un </w:t>
      </w:r>
      <w:r w:rsidRPr="005A3D2C">
        <w:rPr>
          <w:b/>
          <w:bCs/>
        </w:rPr>
        <w:t>monitoraggio costante degli avvenimenti sui cantieri</w:t>
      </w:r>
      <w:r>
        <w:t xml:space="preserve">, strumento che permette di intervenire tempestivamente nelle situazioni di criticità con azioni di approfondimento, richiamo e indirizzo verso i fornitori. </w:t>
      </w:r>
      <w:proofErr w:type="gramStart"/>
      <w:r>
        <w:t>Inoltre</w:t>
      </w:r>
      <w:proofErr w:type="gramEnd"/>
      <w:r>
        <w:t xml:space="preserve"> partendo dall’assunto che ogni infortunio o incidente non è </w:t>
      </w:r>
      <w:r w:rsidR="00E53DA8">
        <w:t xml:space="preserve">quasi </w:t>
      </w:r>
      <w:r>
        <w:t xml:space="preserve">mai frutto del caso o della fatalità, ma di cause piccole o grandi la cui combinazione può generarlo, diventa fondamentale poter </w:t>
      </w:r>
      <w:r w:rsidRPr="005A3D2C">
        <w:rPr>
          <w:b/>
          <w:bCs/>
        </w:rPr>
        <w:t>conoscere i nessi di causalità per poter bloccare preventivamente la catena che porta all’evento</w:t>
      </w:r>
      <w:r>
        <w:t xml:space="preserve">. </w:t>
      </w:r>
    </w:p>
    <w:p w14:paraId="65AB9DF3" w14:textId="77777777" w:rsidR="0038037E" w:rsidRPr="00D46DFE" w:rsidRDefault="0038037E" w:rsidP="003803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40"/>
        <w:jc w:val="both"/>
        <w:rPr>
          <w:rFonts w:eastAsia="Tahoma" w:cs="Tahoma"/>
          <w:sz w:val="20"/>
          <w:szCs w:val="20"/>
        </w:rPr>
      </w:pPr>
      <w:r w:rsidRPr="00D46DFE">
        <w:rPr>
          <w:sz w:val="20"/>
          <w:szCs w:val="20"/>
        </w:rPr>
        <w:t xml:space="preserve">TELT-Tunnel </w:t>
      </w:r>
      <w:proofErr w:type="spellStart"/>
      <w:r w:rsidRPr="00D46DFE">
        <w:rPr>
          <w:sz w:val="20"/>
          <w:szCs w:val="20"/>
        </w:rPr>
        <w:t>Euralpin</w:t>
      </w:r>
      <w:proofErr w:type="spellEnd"/>
      <w:r w:rsidRPr="00D46DFE">
        <w:rPr>
          <w:sz w:val="20"/>
          <w:szCs w:val="20"/>
        </w:rPr>
        <w:t xml:space="preserve"> Lyon Turin, </w:t>
      </w:r>
      <w:r w:rsidRPr="00D46DFE">
        <w:rPr>
          <w:rFonts w:eastAsia="Arial Unicode MS" w:cs="Arial Unicode MS"/>
          <w:sz w:val="20"/>
          <w:szCs w:val="20"/>
        </w:rPr>
        <w:t>è</w:t>
      </w:r>
      <w:r w:rsidRPr="00D46DFE">
        <w:rPr>
          <w:sz w:val="20"/>
          <w:szCs w:val="20"/>
        </w:rPr>
        <w:t xml:space="preserve"> la societ</w:t>
      </w:r>
      <w:r w:rsidRPr="00D46DFE">
        <w:rPr>
          <w:rFonts w:eastAsia="Arial Unicode MS" w:cs="Arial Unicode MS"/>
          <w:sz w:val="20"/>
          <w:szCs w:val="20"/>
        </w:rPr>
        <w:t>à</w:t>
      </w:r>
      <w:r w:rsidRPr="00D46DFE">
        <w:rPr>
          <w:sz w:val="20"/>
          <w:szCs w:val="20"/>
        </w:rPr>
        <w:t xml:space="preserve"> responsabile dei lavori di realizzazione e della gestione della sezione transfrontaliera del collegamento ferroviario tra Torino e Lione. </w:t>
      </w:r>
      <w:r w:rsidRPr="00D46DFE">
        <w:rPr>
          <w:rFonts w:eastAsia="Arial Unicode MS" w:cs="Arial Unicode MS"/>
          <w:sz w:val="20"/>
          <w:szCs w:val="20"/>
        </w:rPr>
        <w:t>È</w:t>
      </w:r>
      <w:r w:rsidRPr="00D46DFE">
        <w:rPr>
          <w:sz w:val="20"/>
          <w:szCs w:val="20"/>
        </w:rPr>
        <w:t xml:space="preserve"> partecipata al 50% da Italia e Francia attraverso Ferrovie dello Stato Italiane (FS) e Ministero Economia e Finanza francese.</w:t>
      </w:r>
    </w:p>
    <w:p w14:paraId="03D76612" w14:textId="00C2FDEE" w:rsidR="00E62244" w:rsidRPr="00E53DA8" w:rsidRDefault="0038037E" w:rsidP="0035436B">
      <w:pPr>
        <w:pStyle w:val="WBS-Addresstext"/>
        <w:rPr>
          <w:rFonts w:asciiTheme="minorHAnsi" w:hAnsiTheme="minorHAnsi"/>
          <w:b/>
          <w:sz w:val="21"/>
          <w:szCs w:val="21"/>
        </w:rPr>
      </w:pPr>
      <w:r w:rsidRPr="00E53DA8">
        <w:rPr>
          <w:rFonts w:asciiTheme="minorHAnsi" w:hAnsiTheme="minorHAnsi"/>
          <w:b/>
          <w:sz w:val="21"/>
          <w:szCs w:val="21"/>
        </w:rPr>
        <w:t>Area Comunicazione TELT</w:t>
      </w:r>
      <w:r w:rsidR="001D1601" w:rsidRPr="00E53DA8">
        <w:rPr>
          <w:rFonts w:asciiTheme="minorHAnsi" w:hAnsiTheme="minorHAnsi"/>
          <w:b/>
          <w:sz w:val="21"/>
          <w:szCs w:val="21"/>
        </w:rPr>
        <w:t xml:space="preserve"> ITALIA</w:t>
      </w:r>
    </w:p>
    <w:p w14:paraId="1A463D68" w14:textId="088E426C" w:rsidR="00406C03" w:rsidRDefault="00F64EF4" w:rsidP="00C862F5">
      <w:pPr>
        <w:pStyle w:val="WBS-Addresstext"/>
        <w:rPr>
          <w:rStyle w:val="Collegamentoipertestuale"/>
          <w:rFonts w:eastAsia="Garamond" w:cs="Garamond"/>
          <w:sz w:val="21"/>
          <w:szCs w:val="21"/>
          <w:u w:color="0000FF"/>
        </w:rPr>
      </w:pPr>
      <w:r w:rsidRPr="00D46DFE">
        <w:rPr>
          <w:rFonts w:asciiTheme="minorHAnsi" w:hAnsiTheme="minorHAnsi"/>
          <w:b/>
          <w:sz w:val="21"/>
          <w:szCs w:val="21"/>
        </w:rPr>
        <w:t>Davide Fuschi</w:t>
      </w:r>
      <w:r w:rsidRPr="00D46DFE">
        <w:rPr>
          <w:rFonts w:asciiTheme="minorHAnsi" w:hAnsiTheme="minorHAnsi"/>
          <w:sz w:val="21"/>
          <w:szCs w:val="21"/>
        </w:rPr>
        <w:t xml:space="preserve"> </w:t>
      </w:r>
      <w:r w:rsidR="003D4685" w:rsidRPr="00D46DFE">
        <w:rPr>
          <w:rFonts w:asciiTheme="minorHAnsi" w:hAnsiTheme="minorHAnsi"/>
          <w:iCs/>
          <w:sz w:val="21"/>
          <w:szCs w:val="21"/>
        </w:rPr>
        <w:t>Responsabile Comunicazione Esterna Italia</w:t>
      </w:r>
      <w:r w:rsidR="0038037E" w:rsidRPr="00D46DFE">
        <w:rPr>
          <w:rFonts w:asciiTheme="minorHAnsi" w:hAnsiTheme="minorHAnsi"/>
          <w:i/>
          <w:iCs/>
          <w:sz w:val="21"/>
          <w:szCs w:val="21"/>
        </w:rPr>
        <w:t>–</w:t>
      </w:r>
      <w:r w:rsidR="0038037E" w:rsidRPr="00D46DFE">
        <w:rPr>
          <w:rStyle w:val="Hyperlink0"/>
          <w:rFonts w:asciiTheme="minorHAnsi" w:hAnsiTheme="minorHAnsi"/>
          <w:i w:val="0"/>
          <w:iCs w:val="0"/>
          <w:sz w:val="21"/>
          <w:szCs w:val="21"/>
        </w:rPr>
        <w:t xml:space="preserve"> </w:t>
      </w:r>
      <w:hyperlink r:id="rId8" w:history="1">
        <w:r w:rsidR="003D4685" w:rsidRPr="00D46DFE">
          <w:rPr>
            <w:rStyle w:val="Collegamentoipertestuale"/>
            <w:rFonts w:asciiTheme="minorHAnsi" w:eastAsia="Garamond" w:hAnsiTheme="minorHAnsi" w:cs="Garamond"/>
            <w:sz w:val="21"/>
            <w:szCs w:val="21"/>
            <w:u w:color="0000FF"/>
          </w:rPr>
          <w:t>davide.fuschi@telt-sas.com</w:t>
        </w:r>
      </w:hyperlink>
      <w:r w:rsidR="0038037E" w:rsidRPr="00D46DFE">
        <w:rPr>
          <w:rStyle w:val="Hyperlink1"/>
          <w:rFonts w:asciiTheme="minorHAnsi" w:hAnsiTheme="minorHAnsi"/>
          <w:sz w:val="21"/>
          <w:szCs w:val="21"/>
        </w:rPr>
        <w:br/>
      </w:r>
      <w:r w:rsidR="0038037E" w:rsidRPr="00D46DFE">
        <w:rPr>
          <w:rStyle w:val="Nessuno"/>
          <w:rFonts w:asciiTheme="minorHAnsi" w:hAnsiTheme="minorHAnsi"/>
          <w:b/>
          <w:bCs/>
          <w:sz w:val="21"/>
          <w:szCs w:val="21"/>
        </w:rPr>
        <w:t>Sara Settembrino</w:t>
      </w:r>
      <w:r w:rsidR="0038037E" w:rsidRPr="00D46DFE">
        <w:rPr>
          <w:rStyle w:val="Nessuno"/>
          <w:rFonts w:asciiTheme="minorHAnsi" w:hAnsiTheme="minorHAnsi"/>
          <w:sz w:val="21"/>
          <w:szCs w:val="21"/>
        </w:rPr>
        <w:t xml:space="preserve"> Responsabile Rapporti con i media Italia</w:t>
      </w:r>
      <w:r w:rsidR="0038037E" w:rsidRPr="00D46DFE">
        <w:rPr>
          <w:rStyle w:val="Nessuno"/>
          <w:rFonts w:asciiTheme="minorHAnsi" w:hAnsiTheme="minorHAnsi"/>
          <w:color w:val="0000FF"/>
          <w:sz w:val="21"/>
          <w:szCs w:val="21"/>
          <w:u w:color="0000FF"/>
        </w:rPr>
        <w:t xml:space="preserve"> </w:t>
      </w:r>
      <w:r w:rsidR="0038037E" w:rsidRPr="00D46DFE">
        <w:rPr>
          <w:rFonts w:asciiTheme="minorHAnsi" w:hAnsiTheme="minorHAnsi"/>
          <w:i/>
          <w:iCs/>
          <w:sz w:val="21"/>
          <w:szCs w:val="21"/>
        </w:rPr>
        <w:t>–</w:t>
      </w:r>
      <w:r w:rsidR="0038037E" w:rsidRPr="00D46DFE">
        <w:rPr>
          <w:rStyle w:val="Nessuno"/>
          <w:rFonts w:asciiTheme="minorHAnsi" w:hAnsiTheme="minorHAnsi"/>
          <w:i/>
          <w:iCs/>
          <w:color w:val="0000FF"/>
          <w:sz w:val="21"/>
          <w:szCs w:val="21"/>
          <w:u w:color="0000FF"/>
        </w:rPr>
        <w:t xml:space="preserve"> </w:t>
      </w:r>
      <w:r w:rsidR="0038037E" w:rsidRPr="00D46DFE">
        <w:rPr>
          <w:rStyle w:val="Hyperlink0"/>
          <w:rFonts w:asciiTheme="minorHAnsi" w:hAnsiTheme="minorHAnsi"/>
          <w:i w:val="0"/>
          <w:iCs w:val="0"/>
          <w:sz w:val="21"/>
          <w:szCs w:val="21"/>
        </w:rPr>
        <w:t>sara.settembrino@telt-sas.com</w:t>
      </w:r>
    </w:p>
    <w:sectPr w:rsidR="00406C03" w:rsidSect="00354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2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A2EC" w14:textId="77777777" w:rsidR="007E6535" w:rsidRDefault="007E6535" w:rsidP="00A471B1">
      <w:pPr>
        <w:spacing w:after="0" w:line="240" w:lineRule="auto"/>
      </w:pPr>
      <w:r>
        <w:separator/>
      </w:r>
    </w:p>
  </w:endnote>
  <w:endnote w:type="continuationSeparator" w:id="0">
    <w:p w14:paraId="6B6CA6A2" w14:textId="77777777" w:rsidR="007E6535" w:rsidRDefault="007E6535" w:rsidP="00A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New Baskerville Roman">
    <w:altName w:val="Times New Roman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1478" w14:textId="77777777" w:rsidR="00781814" w:rsidRDefault="007818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45D" w14:textId="77777777" w:rsidR="0032054C" w:rsidRDefault="00EC4F03">
    <w:pPr>
      <w:pStyle w:val="Pidipagina"/>
    </w:pPr>
    <w:r>
      <w:ptab w:relativeTo="margin" w:alignment="center" w:leader="none"/>
    </w:r>
    <w:r>
      <w:ptab w:relativeTo="margin" w:alignment="right" w:leader="none"/>
    </w:r>
    <w:r>
      <w:t>SSI-0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25BB" w14:textId="77777777" w:rsidR="00781814" w:rsidRDefault="007818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F432" w14:textId="77777777" w:rsidR="007E6535" w:rsidRDefault="007E6535" w:rsidP="00A471B1">
      <w:pPr>
        <w:spacing w:after="0" w:line="240" w:lineRule="auto"/>
      </w:pPr>
      <w:r>
        <w:separator/>
      </w:r>
    </w:p>
  </w:footnote>
  <w:footnote w:type="continuationSeparator" w:id="0">
    <w:p w14:paraId="2F962C0A" w14:textId="77777777" w:rsidR="007E6535" w:rsidRDefault="007E6535" w:rsidP="00A4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896A" w14:textId="77777777" w:rsidR="00781814" w:rsidRDefault="007818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0E04" w14:textId="5C800104" w:rsidR="00045414" w:rsidRDefault="00A471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33D7F6" wp14:editId="1AF0E89D">
          <wp:simplePos x="0" y="0"/>
          <wp:positionH relativeFrom="column">
            <wp:posOffset>635</wp:posOffset>
          </wp:positionH>
          <wp:positionV relativeFrom="paragraph">
            <wp:posOffset>-193089</wp:posOffset>
          </wp:positionV>
          <wp:extent cx="1511300" cy="883293"/>
          <wp:effectExtent l="0" t="0" r="0" b="5715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32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4FED" w14:textId="77777777" w:rsidR="00781814" w:rsidRDefault="007818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FAD"/>
    <w:multiLevelType w:val="hybridMultilevel"/>
    <w:tmpl w:val="424A73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6FE3"/>
    <w:multiLevelType w:val="hybridMultilevel"/>
    <w:tmpl w:val="0B94A63E"/>
    <w:lvl w:ilvl="0" w:tplc="11540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7B94"/>
    <w:multiLevelType w:val="hybridMultilevel"/>
    <w:tmpl w:val="3DFEA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45CAA"/>
    <w:multiLevelType w:val="hybridMultilevel"/>
    <w:tmpl w:val="4DEE1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521B"/>
    <w:multiLevelType w:val="hybridMultilevel"/>
    <w:tmpl w:val="9A42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F323C"/>
    <w:multiLevelType w:val="hybridMultilevel"/>
    <w:tmpl w:val="1ADE2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A5D21"/>
    <w:multiLevelType w:val="hybridMultilevel"/>
    <w:tmpl w:val="18A6EB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4864">
    <w:abstractNumId w:val="1"/>
  </w:num>
  <w:num w:numId="2" w16cid:durableId="239678105">
    <w:abstractNumId w:val="0"/>
  </w:num>
  <w:num w:numId="3" w16cid:durableId="1789618276">
    <w:abstractNumId w:val="6"/>
  </w:num>
  <w:num w:numId="4" w16cid:durableId="641957880">
    <w:abstractNumId w:val="2"/>
  </w:num>
  <w:num w:numId="5" w16cid:durableId="632903402">
    <w:abstractNumId w:val="3"/>
  </w:num>
  <w:num w:numId="6" w16cid:durableId="1255943205">
    <w:abstractNumId w:val="5"/>
  </w:num>
  <w:num w:numId="7" w16cid:durableId="2016759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65"/>
    <w:rsid w:val="00003877"/>
    <w:rsid w:val="00003C1F"/>
    <w:rsid w:val="00004AFE"/>
    <w:rsid w:val="0001078C"/>
    <w:rsid w:val="000234C6"/>
    <w:rsid w:val="000237A5"/>
    <w:rsid w:val="000256EE"/>
    <w:rsid w:val="000315EA"/>
    <w:rsid w:val="0004107A"/>
    <w:rsid w:val="00045414"/>
    <w:rsid w:val="00045D96"/>
    <w:rsid w:val="00051388"/>
    <w:rsid w:val="00052DF9"/>
    <w:rsid w:val="00057DF9"/>
    <w:rsid w:val="00077B14"/>
    <w:rsid w:val="00081E5F"/>
    <w:rsid w:val="0008729E"/>
    <w:rsid w:val="00087694"/>
    <w:rsid w:val="000876BC"/>
    <w:rsid w:val="000914AB"/>
    <w:rsid w:val="0009151F"/>
    <w:rsid w:val="000A2E61"/>
    <w:rsid w:val="000B18BD"/>
    <w:rsid w:val="000B6541"/>
    <w:rsid w:val="000B7863"/>
    <w:rsid w:val="000E2003"/>
    <w:rsid w:val="000F7814"/>
    <w:rsid w:val="000F7E7E"/>
    <w:rsid w:val="001075D6"/>
    <w:rsid w:val="0013041E"/>
    <w:rsid w:val="001309B5"/>
    <w:rsid w:val="00135FCD"/>
    <w:rsid w:val="00140F39"/>
    <w:rsid w:val="00142F5A"/>
    <w:rsid w:val="00146B74"/>
    <w:rsid w:val="00146C40"/>
    <w:rsid w:val="001509E1"/>
    <w:rsid w:val="001936C0"/>
    <w:rsid w:val="00193FE2"/>
    <w:rsid w:val="001B32EF"/>
    <w:rsid w:val="001B4938"/>
    <w:rsid w:val="001C6F83"/>
    <w:rsid w:val="001D1601"/>
    <w:rsid w:val="001E026F"/>
    <w:rsid w:val="00201152"/>
    <w:rsid w:val="00217EE4"/>
    <w:rsid w:val="00230BCA"/>
    <w:rsid w:val="00231B65"/>
    <w:rsid w:val="002346D1"/>
    <w:rsid w:val="0024721A"/>
    <w:rsid w:val="002519A8"/>
    <w:rsid w:val="002529F0"/>
    <w:rsid w:val="002531F5"/>
    <w:rsid w:val="00257465"/>
    <w:rsid w:val="0026141E"/>
    <w:rsid w:val="00266567"/>
    <w:rsid w:val="00271304"/>
    <w:rsid w:val="00273F03"/>
    <w:rsid w:val="00275B72"/>
    <w:rsid w:val="0028026E"/>
    <w:rsid w:val="00283436"/>
    <w:rsid w:val="002864BE"/>
    <w:rsid w:val="002922F9"/>
    <w:rsid w:val="002A5D38"/>
    <w:rsid w:val="002B00F7"/>
    <w:rsid w:val="002B1839"/>
    <w:rsid w:val="002F1A14"/>
    <w:rsid w:val="0030133E"/>
    <w:rsid w:val="00307694"/>
    <w:rsid w:val="00315E34"/>
    <w:rsid w:val="0032054C"/>
    <w:rsid w:val="003443A3"/>
    <w:rsid w:val="0035436B"/>
    <w:rsid w:val="0036508A"/>
    <w:rsid w:val="003661FC"/>
    <w:rsid w:val="0038037E"/>
    <w:rsid w:val="00381B05"/>
    <w:rsid w:val="00391AA6"/>
    <w:rsid w:val="0039295D"/>
    <w:rsid w:val="00397AFB"/>
    <w:rsid w:val="003B48AB"/>
    <w:rsid w:val="003C17F1"/>
    <w:rsid w:val="003C6DB2"/>
    <w:rsid w:val="003D36EB"/>
    <w:rsid w:val="003D4685"/>
    <w:rsid w:val="003D62D4"/>
    <w:rsid w:val="003E6493"/>
    <w:rsid w:val="003F2ECE"/>
    <w:rsid w:val="004001E8"/>
    <w:rsid w:val="004029E8"/>
    <w:rsid w:val="00406C03"/>
    <w:rsid w:val="00414997"/>
    <w:rsid w:val="00414F49"/>
    <w:rsid w:val="00417614"/>
    <w:rsid w:val="004336FF"/>
    <w:rsid w:val="004368BF"/>
    <w:rsid w:val="00440254"/>
    <w:rsid w:val="0044526B"/>
    <w:rsid w:val="00453656"/>
    <w:rsid w:val="0046089C"/>
    <w:rsid w:val="004647F8"/>
    <w:rsid w:val="00470938"/>
    <w:rsid w:val="00470B6F"/>
    <w:rsid w:val="004747B7"/>
    <w:rsid w:val="00474A7E"/>
    <w:rsid w:val="00476C6C"/>
    <w:rsid w:val="0049051C"/>
    <w:rsid w:val="00490CF9"/>
    <w:rsid w:val="004B3C7E"/>
    <w:rsid w:val="004C2758"/>
    <w:rsid w:val="004D2716"/>
    <w:rsid w:val="004D45AD"/>
    <w:rsid w:val="004F0857"/>
    <w:rsid w:val="004F0BC2"/>
    <w:rsid w:val="004F17B4"/>
    <w:rsid w:val="004F504B"/>
    <w:rsid w:val="004F6C42"/>
    <w:rsid w:val="005074EB"/>
    <w:rsid w:val="00507D60"/>
    <w:rsid w:val="00510113"/>
    <w:rsid w:val="00513938"/>
    <w:rsid w:val="005318B0"/>
    <w:rsid w:val="0053604B"/>
    <w:rsid w:val="005377C4"/>
    <w:rsid w:val="005528FA"/>
    <w:rsid w:val="00572EF0"/>
    <w:rsid w:val="00596602"/>
    <w:rsid w:val="00597006"/>
    <w:rsid w:val="005972AA"/>
    <w:rsid w:val="005A05EA"/>
    <w:rsid w:val="005A16CF"/>
    <w:rsid w:val="005B1544"/>
    <w:rsid w:val="005C54CB"/>
    <w:rsid w:val="005F4E0D"/>
    <w:rsid w:val="00620D9E"/>
    <w:rsid w:val="00622242"/>
    <w:rsid w:val="00642AB3"/>
    <w:rsid w:val="006548AE"/>
    <w:rsid w:val="006610B4"/>
    <w:rsid w:val="00672367"/>
    <w:rsid w:val="00672B07"/>
    <w:rsid w:val="00676D68"/>
    <w:rsid w:val="00680DFA"/>
    <w:rsid w:val="00684DCA"/>
    <w:rsid w:val="0068722D"/>
    <w:rsid w:val="006925CA"/>
    <w:rsid w:val="00697BCB"/>
    <w:rsid w:val="006A040C"/>
    <w:rsid w:val="006A6F66"/>
    <w:rsid w:val="006A787D"/>
    <w:rsid w:val="006B22B0"/>
    <w:rsid w:val="006B6BDC"/>
    <w:rsid w:val="006E2B74"/>
    <w:rsid w:val="006F0249"/>
    <w:rsid w:val="006F1834"/>
    <w:rsid w:val="006F2E4F"/>
    <w:rsid w:val="006F6EAA"/>
    <w:rsid w:val="0070582C"/>
    <w:rsid w:val="00710BBC"/>
    <w:rsid w:val="00712153"/>
    <w:rsid w:val="00715922"/>
    <w:rsid w:val="00716B75"/>
    <w:rsid w:val="00722347"/>
    <w:rsid w:val="0072532D"/>
    <w:rsid w:val="00730FA4"/>
    <w:rsid w:val="00746CCB"/>
    <w:rsid w:val="00755222"/>
    <w:rsid w:val="00772FC1"/>
    <w:rsid w:val="007801C2"/>
    <w:rsid w:val="00781814"/>
    <w:rsid w:val="0078661F"/>
    <w:rsid w:val="00790FFF"/>
    <w:rsid w:val="007A4188"/>
    <w:rsid w:val="007B2208"/>
    <w:rsid w:val="007C366C"/>
    <w:rsid w:val="007D128E"/>
    <w:rsid w:val="007E6535"/>
    <w:rsid w:val="007F4E3F"/>
    <w:rsid w:val="00817AED"/>
    <w:rsid w:val="0082234D"/>
    <w:rsid w:val="0085798B"/>
    <w:rsid w:val="00876CD7"/>
    <w:rsid w:val="008A7184"/>
    <w:rsid w:val="008B4763"/>
    <w:rsid w:val="008C1D19"/>
    <w:rsid w:val="008E3BEA"/>
    <w:rsid w:val="008E6F22"/>
    <w:rsid w:val="008E78CF"/>
    <w:rsid w:val="008F1261"/>
    <w:rsid w:val="008F48AD"/>
    <w:rsid w:val="0090210C"/>
    <w:rsid w:val="00917DBA"/>
    <w:rsid w:val="00920FB4"/>
    <w:rsid w:val="00925F87"/>
    <w:rsid w:val="0094068E"/>
    <w:rsid w:val="00945807"/>
    <w:rsid w:val="00946055"/>
    <w:rsid w:val="00952368"/>
    <w:rsid w:val="00956098"/>
    <w:rsid w:val="00977B47"/>
    <w:rsid w:val="0099283A"/>
    <w:rsid w:val="009A12E2"/>
    <w:rsid w:val="009A20EE"/>
    <w:rsid w:val="009A597F"/>
    <w:rsid w:val="009B0BD2"/>
    <w:rsid w:val="009D0F12"/>
    <w:rsid w:val="009D746E"/>
    <w:rsid w:val="009E5E0A"/>
    <w:rsid w:val="009F1FB7"/>
    <w:rsid w:val="00A163D1"/>
    <w:rsid w:val="00A214A6"/>
    <w:rsid w:val="00A312CB"/>
    <w:rsid w:val="00A471B1"/>
    <w:rsid w:val="00A57174"/>
    <w:rsid w:val="00A6002E"/>
    <w:rsid w:val="00A77CA6"/>
    <w:rsid w:val="00A91AD1"/>
    <w:rsid w:val="00A9337A"/>
    <w:rsid w:val="00AA1D64"/>
    <w:rsid w:val="00AA72EB"/>
    <w:rsid w:val="00AB2A7C"/>
    <w:rsid w:val="00AC2835"/>
    <w:rsid w:val="00AC3998"/>
    <w:rsid w:val="00AE1160"/>
    <w:rsid w:val="00AE4C73"/>
    <w:rsid w:val="00AF4BA2"/>
    <w:rsid w:val="00B03DB6"/>
    <w:rsid w:val="00B10F03"/>
    <w:rsid w:val="00B44465"/>
    <w:rsid w:val="00B45865"/>
    <w:rsid w:val="00B47BF0"/>
    <w:rsid w:val="00B7248C"/>
    <w:rsid w:val="00B7520A"/>
    <w:rsid w:val="00B86B86"/>
    <w:rsid w:val="00B86CE8"/>
    <w:rsid w:val="00B876C0"/>
    <w:rsid w:val="00B900ED"/>
    <w:rsid w:val="00B93544"/>
    <w:rsid w:val="00BA45B7"/>
    <w:rsid w:val="00BC2092"/>
    <w:rsid w:val="00BC2400"/>
    <w:rsid w:val="00BE53BF"/>
    <w:rsid w:val="00C015FC"/>
    <w:rsid w:val="00C0247E"/>
    <w:rsid w:val="00C055E0"/>
    <w:rsid w:val="00C100D3"/>
    <w:rsid w:val="00C11403"/>
    <w:rsid w:val="00C14422"/>
    <w:rsid w:val="00C175F5"/>
    <w:rsid w:val="00C21F63"/>
    <w:rsid w:val="00C3156C"/>
    <w:rsid w:val="00C37B09"/>
    <w:rsid w:val="00C45B17"/>
    <w:rsid w:val="00C620C5"/>
    <w:rsid w:val="00C720EC"/>
    <w:rsid w:val="00C83EC5"/>
    <w:rsid w:val="00C84F49"/>
    <w:rsid w:val="00C862F5"/>
    <w:rsid w:val="00C91E99"/>
    <w:rsid w:val="00CA0558"/>
    <w:rsid w:val="00CA0953"/>
    <w:rsid w:val="00CA2EC7"/>
    <w:rsid w:val="00CA39E5"/>
    <w:rsid w:val="00CB007A"/>
    <w:rsid w:val="00CB2DCF"/>
    <w:rsid w:val="00CB36B3"/>
    <w:rsid w:val="00CC3185"/>
    <w:rsid w:val="00CD16E6"/>
    <w:rsid w:val="00CD29B7"/>
    <w:rsid w:val="00CD2CFE"/>
    <w:rsid w:val="00CD64AA"/>
    <w:rsid w:val="00CE1023"/>
    <w:rsid w:val="00CE3B51"/>
    <w:rsid w:val="00CE53DD"/>
    <w:rsid w:val="00CF20CD"/>
    <w:rsid w:val="00D06C1A"/>
    <w:rsid w:val="00D136C6"/>
    <w:rsid w:val="00D3281E"/>
    <w:rsid w:val="00D36C26"/>
    <w:rsid w:val="00D46DFE"/>
    <w:rsid w:val="00D51D4F"/>
    <w:rsid w:val="00D5443A"/>
    <w:rsid w:val="00D60467"/>
    <w:rsid w:val="00D61608"/>
    <w:rsid w:val="00D67BAC"/>
    <w:rsid w:val="00D74754"/>
    <w:rsid w:val="00D86DAF"/>
    <w:rsid w:val="00DA0675"/>
    <w:rsid w:val="00DA308F"/>
    <w:rsid w:val="00DB2FD4"/>
    <w:rsid w:val="00DB5539"/>
    <w:rsid w:val="00DC6EAC"/>
    <w:rsid w:val="00DE64CE"/>
    <w:rsid w:val="00DF4271"/>
    <w:rsid w:val="00DF50D7"/>
    <w:rsid w:val="00E12D09"/>
    <w:rsid w:val="00E24C5B"/>
    <w:rsid w:val="00E272BE"/>
    <w:rsid w:val="00E31C9B"/>
    <w:rsid w:val="00E42028"/>
    <w:rsid w:val="00E46F06"/>
    <w:rsid w:val="00E51DD5"/>
    <w:rsid w:val="00E5227D"/>
    <w:rsid w:val="00E53DA8"/>
    <w:rsid w:val="00E56128"/>
    <w:rsid w:val="00E57FF7"/>
    <w:rsid w:val="00E62244"/>
    <w:rsid w:val="00E706CB"/>
    <w:rsid w:val="00E71789"/>
    <w:rsid w:val="00E7797A"/>
    <w:rsid w:val="00E804C8"/>
    <w:rsid w:val="00E84828"/>
    <w:rsid w:val="00E87293"/>
    <w:rsid w:val="00E931A3"/>
    <w:rsid w:val="00E95255"/>
    <w:rsid w:val="00E95F21"/>
    <w:rsid w:val="00EA2AEE"/>
    <w:rsid w:val="00EB47C2"/>
    <w:rsid w:val="00EC02A5"/>
    <w:rsid w:val="00EC4F03"/>
    <w:rsid w:val="00EC72F0"/>
    <w:rsid w:val="00ED2AFB"/>
    <w:rsid w:val="00ED5EA6"/>
    <w:rsid w:val="00EE243C"/>
    <w:rsid w:val="00EE6A15"/>
    <w:rsid w:val="00EF06EB"/>
    <w:rsid w:val="00EF291B"/>
    <w:rsid w:val="00EF7195"/>
    <w:rsid w:val="00F02EA9"/>
    <w:rsid w:val="00F05747"/>
    <w:rsid w:val="00F05912"/>
    <w:rsid w:val="00F113AD"/>
    <w:rsid w:val="00F11EA5"/>
    <w:rsid w:val="00F1354E"/>
    <w:rsid w:val="00F13704"/>
    <w:rsid w:val="00F1513D"/>
    <w:rsid w:val="00F15F60"/>
    <w:rsid w:val="00F27A49"/>
    <w:rsid w:val="00F31601"/>
    <w:rsid w:val="00F43856"/>
    <w:rsid w:val="00F52F37"/>
    <w:rsid w:val="00F57E58"/>
    <w:rsid w:val="00F64EF4"/>
    <w:rsid w:val="00F64F54"/>
    <w:rsid w:val="00F71659"/>
    <w:rsid w:val="00F77448"/>
    <w:rsid w:val="00F84A59"/>
    <w:rsid w:val="00F87348"/>
    <w:rsid w:val="00FA183D"/>
    <w:rsid w:val="00FA5337"/>
    <w:rsid w:val="00FA766B"/>
    <w:rsid w:val="00FB1797"/>
    <w:rsid w:val="00FB18D7"/>
    <w:rsid w:val="00FB2D10"/>
    <w:rsid w:val="00FB3347"/>
    <w:rsid w:val="00FD7649"/>
    <w:rsid w:val="00FE2FBC"/>
    <w:rsid w:val="00FF24F3"/>
    <w:rsid w:val="00FF4EE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92689"/>
  <w15:chartTrackingRefBased/>
  <w15:docId w15:val="{F90B2573-E70B-4EDF-9757-6B3F117F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2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2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20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2346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A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4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1B1"/>
  </w:style>
  <w:style w:type="paragraph" w:styleId="Pidipagina">
    <w:name w:val="footer"/>
    <w:basedOn w:val="Normale"/>
    <w:link w:val="PidipaginaCarattere"/>
    <w:uiPriority w:val="99"/>
    <w:unhideWhenUsed/>
    <w:rsid w:val="00A4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1B1"/>
  </w:style>
  <w:style w:type="paragraph" w:customStyle="1" w:styleId="WBS-Addresstext">
    <w:name w:val="_WBS - Address text"/>
    <w:autoRedefine/>
    <w:rsid w:val="0032054C"/>
    <w:pPr>
      <w:spacing w:after="0" w:line="240" w:lineRule="auto"/>
      <w:jc w:val="center"/>
    </w:pPr>
    <w:rPr>
      <w:rFonts w:ascii="Calibri" w:eastAsiaTheme="minorEastAsia" w:hAnsi="Calibri"/>
      <w:color w:val="404040" w:themeColor="text1" w:themeTint="BF"/>
      <w:sz w:val="24"/>
      <w:szCs w:val="24"/>
    </w:rPr>
  </w:style>
  <w:style w:type="character" w:customStyle="1" w:styleId="Hyperlink1">
    <w:name w:val="Hyperlink.1"/>
    <w:basedOn w:val="Carpredefinitoparagrafo"/>
    <w:rsid w:val="0032054C"/>
    <w:rPr>
      <w:rFonts w:ascii="Calibri" w:eastAsia="Calibri" w:hAnsi="Calibri" w:cs="Calibri"/>
      <w:color w:val="0000FF"/>
      <w:sz w:val="20"/>
      <w:szCs w:val="20"/>
      <w:u w:val="single" w:color="0000FF"/>
    </w:rPr>
  </w:style>
  <w:style w:type="character" w:styleId="Collegamentoipertestuale">
    <w:name w:val="Hyperlink"/>
    <w:basedOn w:val="Carpredefinitoparagrafo"/>
    <w:uiPriority w:val="99"/>
    <w:unhideWhenUsed/>
    <w:rsid w:val="0032054C"/>
    <w:rPr>
      <w:color w:val="0563C1" w:themeColor="hyperlink"/>
      <w:u w:val="single"/>
    </w:rPr>
  </w:style>
  <w:style w:type="character" w:customStyle="1" w:styleId="Nessuno">
    <w:name w:val="Nessuno"/>
    <w:rsid w:val="0032054C"/>
  </w:style>
  <w:style w:type="character" w:customStyle="1" w:styleId="Hyperlink0">
    <w:name w:val="Hyperlink.0"/>
    <w:basedOn w:val="Nessuno"/>
    <w:rsid w:val="0032054C"/>
    <w:rPr>
      <w:rFonts w:ascii="Garamond" w:eastAsia="Garamond" w:hAnsi="Garamond" w:cs="Garamond"/>
      <w:i/>
      <w:iCs/>
      <w:color w:val="0000FF"/>
      <w:sz w:val="20"/>
      <w:szCs w:val="20"/>
      <w:u w:val="single" w:color="0000FF"/>
    </w:rPr>
  </w:style>
  <w:style w:type="table" w:styleId="Grigliatabella">
    <w:name w:val="Table Grid"/>
    <w:basedOn w:val="Tabellanormale"/>
    <w:uiPriority w:val="59"/>
    <w:rsid w:val="0032054C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A1D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styleId="Enfasicorsivo">
    <w:name w:val="Emphasis"/>
    <w:basedOn w:val="Carpredefinitoparagrafo"/>
    <w:uiPriority w:val="20"/>
    <w:qFormat/>
    <w:rsid w:val="00AA1D64"/>
    <w:rPr>
      <w:i/>
      <w:iCs/>
    </w:rPr>
  </w:style>
  <w:style w:type="paragraph" w:styleId="Nessunaspaziatura">
    <w:name w:val="No Spacing"/>
    <w:uiPriority w:val="1"/>
    <w:qFormat/>
    <w:rsid w:val="00C720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72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2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20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06C03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06C03"/>
    <w:rPr>
      <w:rFonts w:ascii="Calibri" w:hAnsi="Calibri" w:cs="Calibri"/>
    </w:rPr>
  </w:style>
  <w:style w:type="paragraph" w:customStyle="1" w:styleId="Default">
    <w:name w:val="Default"/>
    <w:basedOn w:val="Normale"/>
    <w:rsid w:val="002519A8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519A8"/>
    <w:rPr>
      <w:b/>
      <w:bCs/>
    </w:rPr>
  </w:style>
  <w:style w:type="paragraph" w:styleId="Paragrafoelenco">
    <w:name w:val="List Paragraph"/>
    <w:basedOn w:val="Normale"/>
    <w:uiPriority w:val="34"/>
    <w:qFormat/>
    <w:rsid w:val="00E51DD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037E"/>
    <w:rPr>
      <w:color w:val="605E5C"/>
      <w:shd w:val="clear" w:color="auto" w:fill="E1DFDD"/>
    </w:rPr>
  </w:style>
  <w:style w:type="paragraph" w:customStyle="1" w:styleId="Capolettera">
    <w:name w:val="Capolettera"/>
    <w:rsid w:val="00CD16E6"/>
    <w:pPr>
      <w:spacing w:after="0" w:line="240" w:lineRule="auto"/>
      <w:jc w:val="both"/>
    </w:pPr>
    <w:rPr>
      <w:rFonts w:ascii="ITC New Baskerville Roman" w:eastAsia="ITC New Baskerville Roman" w:hAnsi="ITC New Baskerville Roman" w:cs="Times New Roman"/>
      <w:sz w:val="24"/>
      <w:szCs w:val="20"/>
      <w:lang w:eastAsia="it-IT"/>
    </w:rPr>
  </w:style>
  <w:style w:type="character" w:customStyle="1" w:styleId="Policepardfaut1">
    <w:name w:val="Police par défaut1"/>
    <w:rsid w:val="00D51D4F"/>
  </w:style>
  <w:style w:type="character" w:customStyle="1" w:styleId="Titolo5Carattere">
    <w:name w:val="Titolo 5 Carattere"/>
    <w:basedOn w:val="Carpredefinitoparagrafo"/>
    <w:link w:val="Titolo5"/>
    <w:uiPriority w:val="9"/>
    <w:rsid w:val="002346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6">
    <w:name w:val="s6"/>
    <w:basedOn w:val="Carpredefinitoparagrafo"/>
    <w:rsid w:val="00C015FC"/>
  </w:style>
  <w:style w:type="character" w:styleId="Rimandocommento">
    <w:name w:val="annotation reference"/>
    <w:basedOn w:val="Carpredefinitoparagrafo"/>
    <w:uiPriority w:val="99"/>
    <w:semiHidden/>
    <w:unhideWhenUsed/>
    <w:rsid w:val="00C62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20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20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20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20C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87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fuschi@telt-sa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D41B-CFD6-4056-9E4D-DE801F4D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AvataneoG</dc:creator>
  <cp:keywords/>
  <dc:description/>
  <cp:lastModifiedBy>Sara Settembrino</cp:lastModifiedBy>
  <cp:revision>5</cp:revision>
  <cp:lastPrinted>2022-04-27T15:18:00Z</cp:lastPrinted>
  <dcterms:created xsi:type="dcterms:W3CDTF">2022-04-28T10:36:00Z</dcterms:created>
  <dcterms:modified xsi:type="dcterms:W3CDTF">2022-04-28T13:40:00Z</dcterms:modified>
</cp:coreProperties>
</file>